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38761d"/>
          <w:sz w:val="44"/>
          <w:szCs w:val="4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8761d"/>
          <w:sz w:val="44"/>
          <w:szCs w:val="44"/>
          <w:u w:val="single"/>
          <w:rtl w:val="0"/>
        </w:rPr>
        <w:t xml:space="preserve">MONITORING TOOLS: GUIDELINES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Co-funded by the European Union (Ref: NDICI CHALLENGE/2023/448-254)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reported in the Contract, the fulfillment of the monitoring tools depends on the length of each selected youth initiative. It’s mandatory to fill them at least twice: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as Interim Report;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as Final Report.</w:t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the Financial Report - the reporting depends on the number of payments. </w:t>
      </w:r>
    </w:p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Fulfill also column “P” of the excel in case of three payments.</w:t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one or more reference persons within your organization, who will be in charge of supporting the selected youth group(s) in completing the tools. 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recommended that per each partner the financial officer will be included in the financial monitoring process.</w:t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reference person may also be the selected Expert on Sub-granting, or the Country-based focal person. 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 the youth initiative(s) to select a reference person in their group (one in the leading youth organization, and one per each co-applicant). This will make the reporting process easier and ensure fluent communication with them to schedule the monitoring meetings, and to collect evidence and information needed.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Remember to the selected youth initiative(s) to keep each invoice, proof of payment, and contract during the whole implementation of their project, and to include evidence, such as: photographs, lists of attendance, elaborated material, etc.</w:t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reference person, and in particular the financial officer in each country, has to be aware of the importance of periodically collecting this evidence.</w:t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Adapt the tools depending on each initiative: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copy-paste their budget on the Financial Report, as the baseline to support them using the Excel format;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Activity Implementation Report cancel all the activities/outputs sheets in excess or add more, if necessary, depending on the effective number of activities/outputs foreseen in each selected initiative. 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5457825</wp:posOffset>
          </wp:positionH>
          <wp:positionV relativeFrom="page">
            <wp:posOffset>119063</wp:posOffset>
          </wp:positionV>
          <wp:extent cx="1413669" cy="5572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3669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-476249</wp:posOffset>
          </wp:positionH>
          <wp:positionV relativeFrom="paragraph">
            <wp:posOffset>-257174</wp:posOffset>
          </wp:positionV>
          <wp:extent cx="1795463" cy="4043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5463" cy="4043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